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02-1-93/2-23</w:t>
      </w:r>
      <w:r w:rsidR="00B676EB">
        <w:rPr>
          <w:sz w:val="20"/>
          <w:szCs w:val="20"/>
        </w:rPr>
        <w:t xml:space="preserve"> </w:t>
      </w:r>
      <w:r w:rsidR="00903F65">
        <w:rPr>
          <w:sz w:val="20"/>
          <w:szCs w:val="20"/>
        </w:rPr>
        <w:t>od  08.02</w:t>
      </w:r>
      <w:r w:rsidR="00373B8C">
        <w:rPr>
          <w:sz w:val="20"/>
          <w:szCs w:val="20"/>
        </w:rPr>
        <w:t>.2023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3258C1">
        <w:rPr>
          <w:bCs/>
          <w:sz w:val="20"/>
          <w:szCs w:val="20"/>
        </w:rPr>
        <w:t>broj:01-5-75/23 od 22.02.2023.</w:t>
      </w:r>
      <w:r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834DC1" w:rsidP="00652B95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903F65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Umjetničko-nastavna zvanja</w:t>
      </w:r>
      <w:r w:rsidR="00AA29A2" w:rsidRPr="00AA29A2">
        <w:rPr>
          <w:b/>
          <w:sz w:val="20"/>
          <w:szCs w:val="20"/>
        </w:rPr>
        <w:t>: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Default="00903F65" w:rsidP="00903F65">
      <w:pPr>
        <w:pStyle w:val="ListParagraph"/>
        <w:numPr>
          <w:ilvl w:val="0"/>
          <w:numId w:val="16"/>
        </w:numPr>
        <w:rPr>
          <w:bCs/>
          <w:iCs/>
          <w:sz w:val="20"/>
          <w:szCs w:val="20"/>
        </w:rPr>
      </w:pPr>
      <w:r w:rsidRPr="00903F65">
        <w:rPr>
          <w:b/>
          <w:bCs/>
          <w:iCs/>
          <w:sz w:val="20"/>
          <w:szCs w:val="20"/>
        </w:rPr>
        <w:t>Oblast kompozicija</w:t>
      </w:r>
      <w:r w:rsidRPr="00903F65">
        <w:rPr>
          <w:bCs/>
          <w:iCs/>
          <w:sz w:val="20"/>
          <w:szCs w:val="20"/>
        </w:rPr>
        <w:t xml:space="preserve"> (Kompozicija I-X, Orkestracija I-VI, Osnovi kompozicije i orkestracije I-II i Analiza orkestarskih partitura I-II</w:t>
      </w:r>
      <w:r w:rsidRPr="00903F65">
        <w:rPr>
          <w:bCs/>
          <w:iCs/>
          <w:sz w:val="20"/>
          <w:szCs w:val="20"/>
          <w:lang w:val="bs-Latn-BA"/>
        </w:rPr>
        <w:t xml:space="preserve">, Osnovi elektroničke muzike I-IV, Elektronička muzika I-VI, </w:t>
      </w:r>
      <w:r w:rsidRPr="00903F65">
        <w:rPr>
          <w:bCs/>
          <w:iCs/>
          <w:sz w:val="20"/>
          <w:szCs w:val="20"/>
        </w:rPr>
        <w:t>Polifonija I-II</w:t>
      </w:r>
      <w:r w:rsidRPr="00903F65">
        <w:rPr>
          <w:bCs/>
          <w:iCs/>
          <w:sz w:val="20"/>
          <w:szCs w:val="20"/>
          <w:lang w:val="bs-Latn-BA"/>
        </w:rPr>
        <w:t xml:space="preserve">, </w:t>
      </w:r>
      <w:r w:rsidRPr="00903F65">
        <w:rPr>
          <w:bCs/>
          <w:iCs/>
          <w:sz w:val="20"/>
          <w:szCs w:val="20"/>
        </w:rPr>
        <w:t xml:space="preserve">Historijske tehnike komponovanja I-II ) i Kontrapunkt I-VI – </w:t>
      </w:r>
      <w:r w:rsidRPr="00903F65">
        <w:rPr>
          <w:b/>
          <w:bCs/>
          <w:iCs/>
          <w:sz w:val="20"/>
          <w:szCs w:val="20"/>
        </w:rPr>
        <w:t>redovni profesor</w:t>
      </w:r>
      <w:r w:rsidRPr="00903F65">
        <w:rPr>
          <w:bCs/>
          <w:iCs/>
          <w:sz w:val="20"/>
          <w:szCs w:val="20"/>
        </w:rPr>
        <w:t xml:space="preserve"> – 1 izvršilac</w:t>
      </w:r>
    </w:p>
    <w:p w:rsidR="00903F65" w:rsidRPr="00903F65" w:rsidRDefault="00903F65" w:rsidP="00903F65">
      <w:pPr>
        <w:pStyle w:val="alihovi"/>
        <w:numPr>
          <w:ilvl w:val="0"/>
          <w:numId w:val="16"/>
        </w:numPr>
        <w:rPr>
          <w:sz w:val="20"/>
          <w:szCs w:val="20"/>
        </w:rPr>
      </w:pPr>
      <w:r w:rsidRPr="00903F65">
        <w:rPr>
          <w:b/>
          <w:sz w:val="20"/>
          <w:szCs w:val="20"/>
        </w:rPr>
        <w:t>Oblast gitara</w:t>
      </w:r>
      <w:r w:rsidRPr="00903F65">
        <w:rPr>
          <w:sz w:val="20"/>
          <w:szCs w:val="20"/>
        </w:rPr>
        <w:t xml:space="preserve"> (Gitara I-X,  Metodika nastave gitare i praktikum I-IV, Kamerna muzika I-X, Metodika nastave gitare I-IX i Metodička i pedagoška praksa) – </w:t>
      </w:r>
      <w:r w:rsidRPr="00903F65">
        <w:rPr>
          <w:b/>
          <w:sz w:val="20"/>
          <w:szCs w:val="20"/>
        </w:rPr>
        <w:t>redovni profesor</w:t>
      </w:r>
      <w:r w:rsidRPr="00903F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903F65">
        <w:rPr>
          <w:sz w:val="20"/>
          <w:szCs w:val="20"/>
        </w:rPr>
        <w:t>1 izvršilac</w:t>
      </w:r>
    </w:p>
    <w:p w:rsidR="00903F65" w:rsidRPr="00903F65" w:rsidRDefault="00903F65" w:rsidP="00903F65">
      <w:pPr>
        <w:pStyle w:val="alihovi"/>
        <w:numPr>
          <w:ilvl w:val="0"/>
          <w:numId w:val="16"/>
        </w:numPr>
        <w:rPr>
          <w:sz w:val="20"/>
          <w:szCs w:val="20"/>
        </w:rPr>
      </w:pPr>
      <w:r w:rsidRPr="00903F65">
        <w:rPr>
          <w:b/>
          <w:sz w:val="20"/>
          <w:szCs w:val="20"/>
        </w:rPr>
        <w:t>Oblast violina</w:t>
      </w:r>
      <w:r w:rsidRPr="00903F65">
        <w:rPr>
          <w:sz w:val="20"/>
          <w:szCs w:val="20"/>
        </w:rPr>
        <w:t xml:space="preserve"> (Violina I-X,  Metodika nastave violine i praktikum I-IV, Kamerna muzika za gudače I-X,  Metodika nastave violine I-IX i Metodička i pegagoška praksa) – </w:t>
      </w:r>
      <w:r w:rsidRPr="00903F65">
        <w:rPr>
          <w:b/>
          <w:sz w:val="20"/>
          <w:szCs w:val="20"/>
        </w:rPr>
        <w:t>redovni profesor</w:t>
      </w:r>
      <w:r w:rsidRPr="00903F65">
        <w:rPr>
          <w:sz w:val="20"/>
          <w:szCs w:val="20"/>
        </w:rPr>
        <w:t xml:space="preserve"> – 1 izvršilac</w:t>
      </w:r>
    </w:p>
    <w:p w:rsidR="00903F65" w:rsidRDefault="00903F65" w:rsidP="00903F65">
      <w:pPr>
        <w:rPr>
          <w:bCs/>
          <w:iCs/>
          <w:sz w:val="20"/>
          <w:szCs w:val="20"/>
        </w:rPr>
      </w:pPr>
    </w:p>
    <w:p w:rsidR="00903F65" w:rsidRPr="00903F65" w:rsidRDefault="00903F65" w:rsidP="00903F65">
      <w:pPr>
        <w:rPr>
          <w:b/>
          <w:bCs/>
          <w:iCs/>
          <w:sz w:val="20"/>
          <w:szCs w:val="20"/>
        </w:rPr>
      </w:pPr>
      <w:r w:rsidRPr="00903F65">
        <w:rPr>
          <w:b/>
          <w:bCs/>
          <w:iCs/>
          <w:sz w:val="20"/>
          <w:szCs w:val="20"/>
        </w:rPr>
        <w:t>Naučno-nastavno zvanje:</w:t>
      </w:r>
    </w:p>
    <w:p w:rsidR="00B676EB" w:rsidRDefault="00B676EB" w:rsidP="00B676EB">
      <w:pPr>
        <w:pStyle w:val="ListParagraph"/>
        <w:jc w:val="both"/>
        <w:rPr>
          <w:b/>
          <w:sz w:val="20"/>
          <w:szCs w:val="20"/>
        </w:rPr>
      </w:pPr>
    </w:p>
    <w:p w:rsidR="00903F65" w:rsidRDefault="00903F65" w:rsidP="00903F65">
      <w:pPr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       1.  </w:t>
      </w:r>
      <w:r w:rsidRPr="00903F65">
        <w:rPr>
          <w:b/>
          <w:bCs/>
          <w:iCs/>
          <w:sz w:val="20"/>
          <w:szCs w:val="20"/>
        </w:rPr>
        <w:t>Predmeti:</w:t>
      </w:r>
      <w:r w:rsidRPr="00903F65">
        <w:rPr>
          <w:bCs/>
          <w:iCs/>
          <w:sz w:val="20"/>
          <w:szCs w:val="20"/>
        </w:rPr>
        <w:t xml:space="preserve"> Harmonija I-VIII, Metodologija istraživanja u muzičkoj teoriji i Odabrani  predmet struke – </w:t>
      </w:r>
      <w:r w:rsidRPr="00903F65">
        <w:rPr>
          <w:b/>
          <w:bCs/>
          <w:iCs/>
          <w:sz w:val="20"/>
          <w:szCs w:val="20"/>
        </w:rPr>
        <w:t>vanredni profesor</w:t>
      </w:r>
      <w:r w:rsidRPr="00903F65">
        <w:rPr>
          <w:bCs/>
          <w:iCs/>
          <w:sz w:val="20"/>
          <w:szCs w:val="20"/>
        </w:rPr>
        <w:t xml:space="preserve"> – </w:t>
      </w:r>
    </w:p>
    <w:p w:rsidR="00903F65" w:rsidRPr="00903F65" w:rsidRDefault="00903F65" w:rsidP="00903F65">
      <w:pPr>
        <w:jc w:val="both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           </w:t>
      </w:r>
      <w:r w:rsidRPr="00903F65">
        <w:rPr>
          <w:bCs/>
          <w:iCs/>
          <w:sz w:val="20"/>
          <w:szCs w:val="20"/>
        </w:rPr>
        <w:t>1 izvršilac</w:t>
      </w:r>
    </w:p>
    <w:p w:rsidR="00903F65" w:rsidRPr="00903F65" w:rsidRDefault="00903F65" w:rsidP="00903F65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6D3B9E">
        <w:rPr>
          <w:sz w:val="20"/>
          <w:szCs w:val="20"/>
        </w:rPr>
        <w:t>umjetničko-nastavna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373B8C">
        <w:rPr>
          <w:sz w:val="20"/>
          <w:szCs w:val="20"/>
        </w:rPr>
        <w:t>97</w:t>
      </w:r>
      <w:r>
        <w:rPr>
          <w:sz w:val="20"/>
          <w:szCs w:val="20"/>
        </w:rPr>
        <w:t xml:space="preserve">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 w:rsidR="00373B8C">
        <w:rPr>
          <w:sz w:val="20"/>
          <w:szCs w:val="20"/>
        </w:rPr>
        <w:t>33/17, 35/20, 40/20 i 39/21</w:t>
      </w:r>
      <w:r>
        <w:rPr>
          <w:sz w:val="20"/>
          <w:szCs w:val="20"/>
        </w:rPr>
        <w:t>)  kako slijedi: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652B95" w:rsidP="00B676E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Redovni</w:t>
      </w:r>
      <w:r w:rsidR="00373B8C">
        <w:rPr>
          <w:b/>
          <w:sz w:val="20"/>
          <w:szCs w:val="20"/>
        </w:rPr>
        <w:t xml:space="preserve"> profesor</w:t>
      </w:r>
      <w:r w:rsidR="006D3B9E" w:rsidRPr="006D3B9E">
        <w:rPr>
          <w:b/>
          <w:sz w:val="20"/>
          <w:szCs w:val="20"/>
        </w:rPr>
        <w:t>:</w:t>
      </w:r>
      <w:r w:rsidR="006D3B9E">
        <w:rPr>
          <w:sz w:val="20"/>
          <w:szCs w:val="20"/>
        </w:rPr>
        <w:t xml:space="preserve"> </w:t>
      </w:r>
      <w:r w:rsidR="00373B8C">
        <w:rPr>
          <w:sz w:val="20"/>
          <w:szCs w:val="20"/>
        </w:rPr>
        <w:t xml:space="preserve">završen drugi ciklus studija ili VII stepen po predbolonjskom sistemu studija, proveden najmanje jedan izborni period u zvanju </w:t>
      </w:r>
      <w:r>
        <w:rPr>
          <w:sz w:val="20"/>
          <w:szCs w:val="20"/>
        </w:rPr>
        <w:t>vanrednog profesora</w:t>
      </w:r>
      <w:r w:rsidR="00373B8C">
        <w:rPr>
          <w:sz w:val="20"/>
          <w:szCs w:val="20"/>
        </w:rPr>
        <w:t>, tri javno predstavljena oblika umjetničkog stvaralaštva</w:t>
      </w:r>
      <w:r>
        <w:rPr>
          <w:sz w:val="20"/>
          <w:szCs w:val="20"/>
        </w:rPr>
        <w:t xml:space="preserve"> koja su značajno doprinijela razvoju kulture i umjetnosti i doprinos podizanju nastavnog i umjetničkog kadra.</w:t>
      </w:r>
      <w:r w:rsidR="00373B8C">
        <w:rPr>
          <w:sz w:val="20"/>
          <w:szCs w:val="20"/>
        </w:rPr>
        <w:t xml:space="preserve"> </w:t>
      </w:r>
    </w:p>
    <w:p w:rsidR="00CA11EC" w:rsidRPr="00567EE0" w:rsidRDefault="00CA11EC" w:rsidP="00834DC1">
      <w:pPr>
        <w:jc w:val="both"/>
        <w:rPr>
          <w:sz w:val="20"/>
          <w:szCs w:val="20"/>
        </w:rPr>
      </w:pPr>
    </w:p>
    <w:p w:rsidR="00652B95" w:rsidRDefault="00652B95" w:rsidP="00652B95">
      <w:pPr>
        <w:jc w:val="both"/>
        <w:rPr>
          <w:sz w:val="20"/>
          <w:szCs w:val="20"/>
        </w:rPr>
      </w:pPr>
      <w:r>
        <w:rPr>
          <w:sz w:val="20"/>
          <w:szCs w:val="20"/>
        </w:rPr>
        <w:t>Uvjeti za izbor u  naučno-nastavna zvanja  propisani</w:t>
      </w:r>
      <w:r w:rsidRPr="001D3A76">
        <w:rPr>
          <w:sz w:val="20"/>
          <w:szCs w:val="20"/>
        </w:rPr>
        <w:t xml:space="preserve"> su čl. </w:t>
      </w:r>
      <w:r>
        <w:rPr>
          <w:sz w:val="20"/>
          <w:szCs w:val="20"/>
        </w:rPr>
        <w:t xml:space="preserve">97.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>
        <w:rPr>
          <w:sz w:val="20"/>
          <w:szCs w:val="20"/>
        </w:rPr>
        <w:t>33/17, 35/20, 40/20 i 39/21)  kako slijedi:</w:t>
      </w:r>
    </w:p>
    <w:p w:rsidR="00652B95" w:rsidRDefault="00652B95" w:rsidP="00652B95">
      <w:pPr>
        <w:jc w:val="both"/>
        <w:rPr>
          <w:sz w:val="20"/>
          <w:szCs w:val="20"/>
        </w:rPr>
      </w:pPr>
    </w:p>
    <w:p w:rsidR="00652B95" w:rsidRPr="00652B95" w:rsidRDefault="00652B95" w:rsidP="00652B95">
      <w:pPr>
        <w:jc w:val="both"/>
        <w:rPr>
          <w:sz w:val="20"/>
          <w:szCs w:val="20"/>
        </w:rPr>
      </w:pPr>
      <w:r w:rsidRPr="00652B95">
        <w:rPr>
          <w:b/>
          <w:sz w:val="20"/>
          <w:szCs w:val="20"/>
        </w:rPr>
        <w:t>Vanredni profesor</w:t>
      </w:r>
      <w:r w:rsidRPr="00652B95">
        <w:rPr>
          <w:sz w:val="20"/>
          <w:szCs w:val="20"/>
        </w:rPr>
        <w:t>: proveden najmanje jedan izborni period u z</w:t>
      </w:r>
      <w:r>
        <w:rPr>
          <w:sz w:val="20"/>
          <w:szCs w:val="20"/>
        </w:rPr>
        <w:t>vanju docenta, najmanje pet nauč</w:t>
      </w:r>
      <w:r w:rsidRPr="00652B95">
        <w:rPr>
          <w:sz w:val="20"/>
          <w:szCs w:val="20"/>
        </w:rPr>
        <w:t>nih radova objavljenih u priznatim publikacijama k</w:t>
      </w:r>
      <w:r>
        <w:rPr>
          <w:sz w:val="20"/>
          <w:szCs w:val="20"/>
        </w:rPr>
        <w:t>oje se nalaze u relevantnim nauč</w:t>
      </w:r>
      <w:r w:rsidRPr="00652B95">
        <w:rPr>
          <w:sz w:val="20"/>
          <w:szCs w:val="20"/>
        </w:rPr>
        <w:t>nim bazama podataka, obj</w:t>
      </w:r>
      <w:r>
        <w:rPr>
          <w:sz w:val="20"/>
          <w:szCs w:val="20"/>
        </w:rPr>
        <w:t>avljena knjiga, originalni stručni uspjeh kao š</w:t>
      </w:r>
      <w:r w:rsidRPr="00652B95">
        <w:rPr>
          <w:sz w:val="20"/>
          <w:szCs w:val="20"/>
        </w:rPr>
        <w:t>to je projekt, patent ili originalni metod te uspje</w:t>
      </w:r>
      <w:r>
        <w:rPr>
          <w:sz w:val="20"/>
          <w:szCs w:val="20"/>
        </w:rPr>
        <w:t>š</w:t>
      </w:r>
      <w:r w:rsidRPr="00652B95">
        <w:rPr>
          <w:sz w:val="20"/>
          <w:szCs w:val="20"/>
        </w:rPr>
        <w:t>no mentorstvo najmanje jednog kandidata za stepen drugog ciklusa studija odnosno integrisanog ciklusa studija;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373B8C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Vanredni pr</w:t>
      </w:r>
      <w:r w:rsidR="00652B95">
        <w:rPr>
          <w:sz w:val="20"/>
          <w:szCs w:val="20"/>
        </w:rPr>
        <w:t>o</w:t>
      </w:r>
      <w:r>
        <w:rPr>
          <w:sz w:val="20"/>
          <w:szCs w:val="20"/>
        </w:rPr>
        <w:t>fesor se bira na period od šest</w:t>
      </w:r>
      <w:r w:rsidR="00006F76">
        <w:rPr>
          <w:sz w:val="20"/>
          <w:szCs w:val="20"/>
        </w:rPr>
        <w:t xml:space="preserve"> godina </w:t>
      </w:r>
      <w:r>
        <w:rPr>
          <w:sz w:val="20"/>
          <w:szCs w:val="20"/>
        </w:rPr>
        <w:t xml:space="preserve">sa mogućnošću jednog ponovnog </w:t>
      </w:r>
      <w:r w:rsidR="00006F76">
        <w:rPr>
          <w:sz w:val="20"/>
          <w:szCs w:val="20"/>
        </w:rPr>
        <w:t>izbora</w:t>
      </w:r>
      <w:r w:rsidR="00B676EB">
        <w:rPr>
          <w:sz w:val="20"/>
          <w:szCs w:val="20"/>
        </w:rPr>
        <w:t xml:space="preserve"> u isto zvanje</w:t>
      </w:r>
      <w:r w:rsidR="00006F76">
        <w:rPr>
          <w:sz w:val="20"/>
          <w:szCs w:val="20"/>
        </w:rPr>
        <w:t>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  <w:r w:rsidR="00B676EB">
        <w:rPr>
          <w:sz w:val="20"/>
          <w:szCs w:val="20"/>
        </w:rPr>
        <w:t>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B676EB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730A9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B676EB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3258C1"/>
    <w:rsid w:val="00352447"/>
    <w:rsid w:val="003548F2"/>
    <w:rsid w:val="00373B8C"/>
    <w:rsid w:val="0038479E"/>
    <w:rsid w:val="00433DFB"/>
    <w:rsid w:val="004A1FF8"/>
    <w:rsid w:val="00533963"/>
    <w:rsid w:val="00567EE0"/>
    <w:rsid w:val="00605541"/>
    <w:rsid w:val="00652B95"/>
    <w:rsid w:val="006D3B9E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A2180"/>
    <w:rsid w:val="00BF6E26"/>
    <w:rsid w:val="00C442E6"/>
    <w:rsid w:val="00CA11EC"/>
    <w:rsid w:val="00D450BD"/>
    <w:rsid w:val="00D5144E"/>
    <w:rsid w:val="00E02104"/>
    <w:rsid w:val="00E03396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2022-06-23T08:26:00Z</cp:lastPrinted>
  <dcterms:created xsi:type="dcterms:W3CDTF">2023-03-14T09:44:00Z</dcterms:created>
  <dcterms:modified xsi:type="dcterms:W3CDTF">2023-03-14T09:44:00Z</dcterms:modified>
</cp:coreProperties>
</file>