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A24F" w14:textId="3FA320EF" w:rsidR="0062134C" w:rsidRDefault="0062134C" w:rsidP="0062134C">
      <w:pPr>
        <w:pStyle w:val="NormalWeb"/>
        <w:spacing w:before="0" w:beforeAutospacing="0" w:after="0" w:afterAutospacing="0"/>
        <w:rPr>
          <w:rFonts w:ascii="Helvetica" w:hAnsi="Helvetica" w:cs="Helvetica"/>
          <w:color w:val="0E101A"/>
          <w:sz w:val="27"/>
          <w:szCs w:val="27"/>
        </w:rPr>
      </w:pPr>
      <w:r>
        <w:rPr>
          <w:rFonts w:ascii="Helvetica" w:hAnsi="Helvetica" w:cs="Helvetica"/>
          <w:color w:val="0E101A"/>
          <w:sz w:val="27"/>
          <w:szCs w:val="27"/>
        </w:rPr>
        <w:t>CERIC-ERIC Call for Proposals 18 is now OPEN!</w:t>
      </w:r>
    </w:p>
    <w:p w14:paraId="3930F2C8" w14:textId="77777777" w:rsidR="0062134C" w:rsidRDefault="0062134C" w:rsidP="0062134C">
      <w:pPr>
        <w:pStyle w:val="NormalWeb"/>
        <w:spacing w:before="0" w:beforeAutospacing="0" w:after="0" w:afterAutospacing="0"/>
        <w:rPr>
          <w:sz w:val="27"/>
          <w:szCs w:val="27"/>
        </w:rPr>
      </w:pPr>
    </w:p>
    <w:p w14:paraId="44E855DD"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Apply now to the call for proposals for coordinated access to more than 60 instruments and support laboratories. In addition to the possibility of accessing several instruments through a single application, we offer mobility support.</w:t>
      </w:r>
    </w:p>
    <w:p w14:paraId="2032DCB9"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5A4A6C17" w14:textId="25DEAEDC"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To apply, use the link "Submit a new CERIC proposal" in the VUO system (</w:t>
      </w:r>
      <w:hyperlink r:id="rId4" w:tgtFrame="_blank" w:history="1">
        <w:r>
          <w:rPr>
            <w:rStyle w:val="Hyperlink"/>
            <w:rFonts w:ascii="Helvetica" w:hAnsi="Helvetica" w:cs="Helvetica"/>
            <w:color w:val="4A6EE0"/>
            <w:sz w:val="27"/>
            <w:szCs w:val="27"/>
          </w:rPr>
          <w:t>https://vuo.elettra.trieste.it/</w:t>
        </w:r>
      </w:hyperlink>
      <w:r>
        <w:rPr>
          <w:rFonts w:ascii="Helvetica" w:hAnsi="Helvetica" w:cs="Helvetica"/>
          <w:color w:val="0E101A"/>
          <w:sz w:val="27"/>
          <w:szCs w:val="27"/>
        </w:rPr>
        <w:t>)</w:t>
      </w:r>
    </w:p>
    <w:p w14:paraId="742181BF"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447B82F5" w14:textId="6AE6FD58"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As usual, there will be two deadlines:</w:t>
      </w:r>
    </w:p>
    <w:p w14:paraId="515BD389"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4ACF0323"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r>
        <w:rPr>
          <w:rStyle w:val="Strong"/>
          <w:rFonts w:ascii="Helvetica" w:hAnsi="Helvetica" w:cs="Helvetica"/>
          <w:color w:val="0E101A"/>
        </w:rPr>
        <w:t>March 1st</w:t>
      </w:r>
      <w:proofErr w:type="gramStart"/>
      <w:r>
        <w:rPr>
          <w:rStyle w:val="Strong"/>
          <w:rFonts w:ascii="Helvetica" w:hAnsi="Helvetica" w:cs="Helvetica"/>
          <w:color w:val="0E101A"/>
        </w:rPr>
        <w:t xml:space="preserve"> 2023</w:t>
      </w:r>
      <w:proofErr w:type="gramEnd"/>
      <w:r>
        <w:rPr>
          <w:rFonts w:ascii="Helvetica" w:hAnsi="Helvetica" w:cs="Helvetica"/>
          <w:color w:val="0E101A"/>
        </w:rPr>
        <w:t>, at 17:00 CET, to have a pre-evaluation and the possibility of improving your proposal</w:t>
      </w:r>
    </w:p>
    <w:p w14:paraId="02B843CA"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r>
        <w:rPr>
          <w:rStyle w:val="Strong"/>
          <w:rFonts w:ascii="Helvetica" w:hAnsi="Helvetica" w:cs="Helvetica"/>
          <w:color w:val="0E101A"/>
        </w:rPr>
        <w:t>March 30th</w:t>
      </w:r>
      <w:proofErr w:type="gramStart"/>
      <w:r>
        <w:rPr>
          <w:rStyle w:val="Strong"/>
          <w:rFonts w:ascii="Helvetica" w:hAnsi="Helvetica" w:cs="Helvetica"/>
          <w:color w:val="0E101A"/>
        </w:rPr>
        <w:t xml:space="preserve"> 2023</w:t>
      </w:r>
      <w:proofErr w:type="gramEnd"/>
      <w:r>
        <w:rPr>
          <w:rFonts w:ascii="Helvetica" w:hAnsi="Helvetica" w:cs="Helvetica"/>
          <w:color w:val="0E101A"/>
        </w:rPr>
        <w:t>, at 17:00 CET (final submission), recommended only for users that are experts in all the techniques requested.</w:t>
      </w:r>
    </w:p>
    <w:p w14:paraId="720D4956"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02C367DA" w14:textId="3A92077D" w:rsidR="0062134C" w:rsidRDefault="0062134C" w:rsidP="0062134C">
      <w:pPr>
        <w:pStyle w:val="NormalWeb"/>
        <w:spacing w:before="0" w:beforeAutospacing="0" w:after="0" w:afterAutospacing="0"/>
        <w:rPr>
          <w:sz w:val="27"/>
          <w:szCs w:val="27"/>
        </w:rPr>
      </w:pPr>
      <w:r>
        <w:rPr>
          <w:rStyle w:val="Strong"/>
          <w:rFonts w:ascii="Helvetica" w:hAnsi="Helvetica" w:cs="Helvetica"/>
          <w:color w:val="0E101A"/>
          <w:sz w:val="27"/>
          <w:szCs w:val="27"/>
        </w:rPr>
        <w:t>*What is new in this call?*</w:t>
      </w:r>
    </w:p>
    <w:p w14:paraId="2A0D0E19" w14:textId="77777777" w:rsidR="0062134C" w:rsidRDefault="0062134C" w:rsidP="0062134C">
      <w:pPr>
        <w:pStyle w:val="NormalWeb"/>
        <w:spacing w:before="0" w:beforeAutospacing="0" w:after="0" w:afterAutospacing="0"/>
        <w:rPr>
          <w:rFonts w:ascii="Helvetica" w:hAnsi="Helvetica" w:cs="Helvetica"/>
          <w:color w:val="0E101A"/>
          <w:sz w:val="27"/>
          <w:szCs w:val="27"/>
        </w:rPr>
      </w:pPr>
    </w:p>
    <w:p w14:paraId="1D73C720" w14:textId="0F361D41"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CERIC is increasing its capacities in the field of Energy Materials. To this end, we will upgrade some beamlines/instruments during this year to improve our services. In the first step, the upgrades will address battery research. We invite the users to check the instruments pages or contact the instruments scientists for forthcoming developments.</w:t>
      </w:r>
    </w:p>
    <w:p w14:paraId="7DAAE18D"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1F9BE7A5" w14:textId="77777777" w:rsidR="0062134C" w:rsidRDefault="0062134C" w:rsidP="0062134C">
      <w:pPr>
        <w:pStyle w:val="NormalWeb"/>
        <w:spacing w:before="0" w:beforeAutospacing="0" w:after="0" w:afterAutospacing="0"/>
        <w:rPr>
          <w:sz w:val="27"/>
          <w:szCs w:val="27"/>
        </w:rPr>
      </w:pPr>
      <w:r>
        <w:rPr>
          <w:rStyle w:val="Strong"/>
          <w:rFonts w:ascii="Helvetica" w:hAnsi="Helvetica" w:cs="Helvetica"/>
          <w:color w:val="0E101A"/>
          <w:sz w:val="27"/>
          <w:szCs w:val="27"/>
        </w:rPr>
        <w:t>*Additional instruments available*</w:t>
      </w:r>
    </w:p>
    <w:p w14:paraId="3B125D83"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4A9A49C0"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5" w:history="1">
        <w:r>
          <w:rPr>
            <w:rStyle w:val="Hyperlink"/>
            <w:rFonts w:ascii="Helvetica" w:hAnsi="Helvetica" w:cs="Helvetica"/>
          </w:rPr>
          <w:t>European Commission's Joint Research Centre Nanobiotechnology Laboratory in Ispra, Italy</w:t>
        </w:r>
      </w:hyperlink>
      <w:r>
        <w:rPr>
          <w:rFonts w:ascii="Helvetica" w:hAnsi="Helvetica" w:cs="Helvetica"/>
          <w:color w:val="0E101A"/>
        </w:rPr>
        <w:t>;</w:t>
      </w:r>
    </w:p>
    <w:p w14:paraId="1C0C1874"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6" w:history="1">
        <w:r>
          <w:rPr>
            <w:rStyle w:val="Hyperlink"/>
            <w:rFonts w:ascii="Helvetica" w:hAnsi="Helvetica" w:cs="Helvetica"/>
          </w:rPr>
          <w:t>Holographic Electron Microscopy (HoloTem)</w:t>
        </w:r>
      </w:hyperlink>
      <w:r>
        <w:rPr>
          <w:rFonts w:ascii="Helvetica" w:hAnsi="Helvetica" w:cs="Helvetica"/>
          <w:color w:val="0E101A"/>
        </w:rPr>
        <w:t xml:space="preserve"> at the University of Salento in Lecce, </w:t>
      </w:r>
      <w:proofErr w:type="gramStart"/>
      <w:r>
        <w:rPr>
          <w:rFonts w:ascii="Helvetica" w:hAnsi="Helvetica" w:cs="Helvetica"/>
          <w:color w:val="0E101A"/>
        </w:rPr>
        <w:t>Italy;</w:t>
      </w:r>
      <w:proofErr w:type="gramEnd"/>
    </w:p>
    <w:p w14:paraId="1712DB7B"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7" w:history="1">
        <w:r>
          <w:rPr>
            <w:rStyle w:val="Hyperlink"/>
            <w:rFonts w:ascii="Helvetica" w:hAnsi="Helvetica" w:cs="Helvetica"/>
          </w:rPr>
          <w:t>Mass Spectrometry Laboratory (MSI)</w:t>
        </w:r>
      </w:hyperlink>
      <w:r>
        <w:rPr>
          <w:rFonts w:ascii="Helvetica" w:hAnsi="Helvetica" w:cs="Helvetica"/>
          <w:color w:val="0E101A"/>
        </w:rPr>
        <w:t> at the University of Salerno, Italy.</w:t>
      </w:r>
    </w:p>
    <w:p w14:paraId="497AC025"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052A29B5" w14:textId="77777777" w:rsidR="0062134C" w:rsidRPr="0062134C" w:rsidRDefault="0062134C" w:rsidP="0062134C">
      <w:pPr>
        <w:pStyle w:val="NormalWeb"/>
        <w:spacing w:before="0" w:beforeAutospacing="0" w:after="0" w:afterAutospacing="0"/>
        <w:rPr>
          <w:b/>
          <w:bCs/>
          <w:sz w:val="27"/>
          <w:szCs w:val="27"/>
        </w:rPr>
      </w:pPr>
      <w:r w:rsidRPr="0062134C">
        <w:rPr>
          <w:rFonts w:ascii="Helvetica" w:hAnsi="Helvetica" w:cs="Helvetica"/>
          <w:b/>
          <w:bCs/>
          <w:color w:val="0E101A"/>
          <w:sz w:val="27"/>
          <w:szCs w:val="27"/>
        </w:rPr>
        <w:t>CERIC continues to offer access to:</w:t>
      </w:r>
    </w:p>
    <w:p w14:paraId="3D8EA533"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246461F5"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8" w:history="1">
        <w:r>
          <w:rPr>
            <w:rStyle w:val="Hyperlink"/>
            <w:rFonts w:ascii="Helvetica" w:hAnsi="Helvetica" w:cs="Helvetica"/>
          </w:rPr>
          <w:t>Ultra-Resolved Angular Photoelectron Spectroscopy URANOS@SOLARIS (former UARPES)</w:t>
        </w:r>
      </w:hyperlink>
      <w:r>
        <w:rPr>
          <w:rFonts w:ascii="Helvetica" w:hAnsi="Helvetica" w:cs="Helvetica"/>
          <w:color w:val="0E101A"/>
        </w:rPr>
        <w:t>;</w:t>
      </w:r>
    </w:p>
    <w:p w14:paraId="3A0EB1F8" w14:textId="77777777" w:rsidR="0062134C" w:rsidRDefault="0062134C" w:rsidP="0062134C">
      <w:pPr>
        <w:pStyle w:val="NormalWeb"/>
        <w:spacing w:before="0" w:beforeAutospacing="0" w:after="0" w:afterAutospacing="0"/>
        <w:ind w:left="60"/>
        <w:rPr>
          <w:sz w:val="27"/>
          <w:szCs w:val="27"/>
        </w:rPr>
      </w:pPr>
      <w:r>
        <w:rPr>
          <w:rFonts w:ascii="Helvetica" w:hAnsi="Helvetica" w:cs="Helvetica"/>
          <w:color w:val="0E101A"/>
          <w:sz w:val="27"/>
          <w:szCs w:val="27"/>
        </w:rPr>
        <w:t> </w:t>
      </w:r>
    </w:p>
    <w:p w14:paraId="60CE5940"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9" w:history="1">
        <w:r>
          <w:rPr>
            <w:rStyle w:val="Hyperlink"/>
            <w:rFonts w:ascii="Helvetica" w:hAnsi="Helvetica" w:cs="Helvetica"/>
          </w:rPr>
          <w:t>Absorption Spectroscopy beamline in Tender energy Range and Above ASTRA@SOLARIS (former SOLABS)</w:t>
        </w:r>
      </w:hyperlink>
      <w:r>
        <w:rPr>
          <w:rFonts w:ascii="Helvetica" w:hAnsi="Helvetica" w:cs="Helvetica"/>
          <w:color w:val="0E101A"/>
        </w:rPr>
        <w:t>;</w:t>
      </w:r>
    </w:p>
    <w:p w14:paraId="6742C424"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076B7565"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10" w:history="1">
        <w:r>
          <w:rPr>
            <w:rStyle w:val="Hyperlink"/>
            <w:rFonts w:ascii="Helvetica" w:hAnsi="Helvetica" w:cs="Helvetica"/>
          </w:rPr>
          <w:t>Soft X-ray absorption spectroscopy PIRX@SOLARIS (former PEEM/XAS)</w:t>
        </w:r>
      </w:hyperlink>
      <w:r>
        <w:rPr>
          <w:rFonts w:ascii="Helvetica" w:hAnsi="Helvetica" w:cs="Helvetica"/>
          <w:color w:val="0E101A"/>
        </w:rPr>
        <w:t>;</w:t>
      </w:r>
    </w:p>
    <w:p w14:paraId="40834EC7"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0871ECC8" w14:textId="77777777" w:rsidR="0062134C" w:rsidRDefault="0062134C" w:rsidP="0062134C">
      <w:pPr>
        <w:pStyle w:val="NormalWeb"/>
        <w:spacing w:before="0" w:beforeAutospacing="0" w:after="0" w:afterAutospacing="0"/>
        <w:ind w:left="420" w:hanging="360"/>
      </w:pPr>
      <w:r>
        <w:rPr>
          <w:rStyle w:val="Strong"/>
          <w:b w:val="0"/>
          <w:bCs w:val="0"/>
          <w:color w:val="0E101A"/>
        </w:rPr>
        <w:t>-</w:t>
      </w:r>
      <w:r>
        <w:rPr>
          <w:rStyle w:val="Strong"/>
          <w:b w:val="0"/>
          <w:bCs w:val="0"/>
          <w:color w:val="0E101A"/>
          <w:sz w:val="14"/>
          <w:szCs w:val="14"/>
        </w:rPr>
        <w:t>       </w:t>
      </w:r>
      <w:hyperlink r:id="rId11" w:history="1">
        <w:r>
          <w:rPr>
            <w:rStyle w:val="Hyperlink"/>
            <w:rFonts w:ascii="Helvetica" w:hAnsi="Helvetica" w:cs="Helvetica"/>
          </w:rPr>
          <w:t>Near Ambient Pressure Electron Spectroscopy EnviroESCA@Charles University Prague</w:t>
        </w:r>
      </w:hyperlink>
      <w:r>
        <w:rPr>
          <w:rStyle w:val="Strong"/>
          <w:rFonts w:ascii="Helvetica" w:hAnsi="Helvetica" w:cs="Helvetica"/>
          <w:color w:val="0E101A"/>
        </w:rPr>
        <w:t>;</w:t>
      </w:r>
    </w:p>
    <w:p w14:paraId="159568E2"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1FE570BC" w14:textId="77777777" w:rsidR="0062134C" w:rsidRDefault="0062134C" w:rsidP="0062134C">
      <w:pPr>
        <w:pStyle w:val="NormalWeb"/>
        <w:spacing w:before="0" w:beforeAutospacing="0" w:after="0" w:afterAutospacing="0"/>
        <w:ind w:left="420" w:hanging="360"/>
      </w:pPr>
      <w:r>
        <w:rPr>
          <w:color w:val="0E101A"/>
        </w:rPr>
        <w:lastRenderedPageBreak/>
        <w:t>-</w:t>
      </w:r>
      <w:r>
        <w:rPr>
          <w:color w:val="0E101A"/>
          <w:sz w:val="14"/>
          <w:szCs w:val="14"/>
        </w:rPr>
        <w:t>       </w:t>
      </w:r>
      <w:hyperlink r:id="rId12" w:history="1">
        <w:r>
          <w:rPr>
            <w:rStyle w:val="Hyperlink"/>
            <w:rFonts w:ascii="Helvetica" w:hAnsi="Helvetica" w:cs="Helvetica"/>
          </w:rPr>
          <w:t>Focused Ion Beam Scanning Electron Microscopy LYRA dual beam FIB/SEM@Charles University Prague</w:t>
        </w:r>
      </w:hyperlink>
      <w:r>
        <w:rPr>
          <w:rStyle w:val="Strong"/>
          <w:rFonts w:ascii="Helvetica" w:hAnsi="Helvetica" w:cs="Helvetica"/>
          <w:color w:val="0E101A"/>
        </w:rPr>
        <w:t>.</w:t>
      </w:r>
    </w:p>
    <w:p w14:paraId="40228C7A"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0873F64C"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CERIC is currently negotiating the addition to the open access of two additional facilities:</w:t>
      </w:r>
    </w:p>
    <w:p w14:paraId="63BC6A25"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4E40F18C" w14:textId="77777777" w:rsidR="0062134C" w:rsidRDefault="0062134C" w:rsidP="0062134C">
      <w:pPr>
        <w:pStyle w:val="NormalWeb"/>
        <w:spacing w:before="0" w:beforeAutospacing="0" w:after="0" w:afterAutospacing="0"/>
        <w:ind w:left="420" w:hanging="360"/>
      </w:pPr>
      <w:r>
        <w:rPr>
          <w:color w:val="0E101A"/>
        </w:rPr>
        <w:t>-</w:t>
      </w:r>
      <w:r>
        <w:rPr>
          <w:color w:val="0E101A"/>
          <w:sz w:val="14"/>
          <w:szCs w:val="14"/>
        </w:rPr>
        <w:t>       </w:t>
      </w:r>
      <w:hyperlink r:id="rId13" w:history="1">
        <w:r>
          <w:rPr>
            <w:rStyle w:val="Hyperlink"/>
            <w:rFonts w:ascii="Helvetica" w:hAnsi="Helvetica" w:cs="Helvetica"/>
          </w:rPr>
          <w:t>Next Generation Sequencing (NGS) </w:t>
        </w:r>
      </w:hyperlink>
      <w:r>
        <w:rPr>
          <w:rFonts w:ascii="Helvetica" w:hAnsi="Helvetica" w:cs="Helvetica"/>
          <w:color w:val="0E101A"/>
        </w:rPr>
        <w:t>at LAGE laboratory in Trieste, Italy.</w:t>
      </w:r>
    </w:p>
    <w:p w14:paraId="2C7F551D"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2BF0F76D"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The facilities may be added during the current Call for Proposals. Stay tuned for more information.</w:t>
      </w:r>
    </w:p>
    <w:p w14:paraId="7C4154BC" w14:textId="77777777" w:rsidR="0062134C" w:rsidRDefault="0062134C" w:rsidP="0062134C">
      <w:pPr>
        <w:pStyle w:val="NormalWeb"/>
        <w:spacing w:before="0" w:beforeAutospacing="0" w:after="0" w:afterAutospacing="0"/>
        <w:rPr>
          <w:rFonts w:ascii="Helvetica" w:hAnsi="Helvetica" w:cs="Helvetica"/>
          <w:color w:val="0E101A"/>
          <w:sz w:val="27"/>
          <w:szCs w:val="27"/>
        </w:rPr>
      </w:pPr>
    </w:p>
    <w:p w14:paraId="5650EBC9" w14:textId="51E2937F"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For further information about the call, please visit our website: </w:t>
      </w:r>
      <w:hyperlink r:id="rId14" w:tgtFrame="_blank" w:history="1">
        <w:r>
          <w:rPr>
            <w:rStyle w:val="Hyperlink"/>
            <w:rFonts w:ascii="Helvetica" w:hAnsi="Helvetica" w:cs="Helvetica"/>
            <w:color w:val="4A6EE0"/>
            <w:sz w:val="27"/>
            <w:szCs w:val="27"/>
          </w:rPr>
          <w:t>https://www.ceric-eric.eu/users/call-for-proposals/</w:t>
        </w:r>
      </w:hyperlink>
      <w:r>
        <w:rPr>
          <w:rFonts w:ascii="Helvetica" w:hAnsi="Helvetica" w:cs="Helvetica"/>
          <w:color w:val="0E101A"/>
          <w:sz w:val="27"/>
          <w:szCs w:val="27"/>
        </w:rPr>
        <w:t> </w:t>
      </w:r>
    </w:p>
    <w:p w14:paraId="79725A07"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 </w:t>
      </w:r>
    </w:p>
    <w:p w14:paraId="32F4C0D8" w14:textId="77777777" w:rsidR="0062134C" w:rsidRDefault="0062134C" w:rsidP="0062134C">
      <w:pPr>
        <w:pStyle w:val="NormalWeb"/>
        <w:spacing w:before="0" w:beforeAutospacing="0" w:after="0" w:afterAutospacing="0"/>
        <w:rPr>
          <w:sz w:val="27"/>
          <w:szCs w:val="27"/>
        </w:rPr>
      </w:pPr>
      <w:r>
        <w:rPr>
          <w:rFonts w:ascii="Helvetica" w:hAnsi="Helvetica" w:cs="Helvetica"/>
          <w:color w:val="0E101A"/>
          <w:sz w:val="27"/>
          <w:szCs w:val="27"/>
        </w:rPr>
        <w:t>Remember, you can apply anytime for the dedicated COVID-19 Fast Track Access and fast track for feasibility studies on the available instruments.</w:t>
      </w:r>
    </w:p>
    <w:p w14:paraId="3933CC5D" w14:textId="77777777" w:rsidR="00650C3C" w:rsidRDefault="00650C3C"/>
    <w:sectPr w:rsidR="00650C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C"/>
    <w:rsid w:val="000A335C"/>
    <w:rsid w:val="00435D7F"/>
    <w:rsid w:val="0062134C"/>
    <w:rsid w:val="00650C3C"/>
    <w:rsid w:val="00CF4E97"/>
    <w:rsid w:val="00E21CFC"/>
    <w:rsid w:val="00E37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7472"/>
  <w15:chartTrackingRefBased/>
  <w15:docId w15:val="{BFE9E6D6-A903-456E-827B-D46E046D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2D"/>
    <w:pPr>
      <w:spacing w:after="0" w:line="300" w:lineRule="exact"/>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3782D"/>
    <w:pPr>
      <w:spacing w:after="200" w:line="240" w:lineRule="auto"/>
    </w:pPr>
    <w:rPr>
      <w:i/>
      <w:iCs/>
      <w:color w:val="DF3B60"/>
      <w:szCs w:val="18"/>
    </w:rPr>
  </w:style>
  <w:style w:type="character" w:styleId="Hyperlink">
    <w:name w:val="Hyperlink"/>
    <w:basedOn w:val="DefaultParagraphFont"/>
    <w:uiPriority w:val="99"/>
    <w:semiHidden/>
    <w:unhideWhenUsed/>
    <w:rsid w:val="0062134C"/>
    <w:rPr>
      <w:color w:val="0000FF"/>
      <w:u w:val="single"/>
    </w:rPr>
  </w:style>
  <w:style w:type="paragraph" w:styleId="NormalWeb">
    <w:name w:val="Normal (Web)"/>
    <w:basedOn w:val="Normal"/>
    <w:uiPriority w:val="99"/>
    <w:unhideWhenUsed/>
    <w:rsid w:val="0062134C"/>
    <w:pPr>
      <w:spacing w:before="100" w:beforeAutospacing="1" w:after="100" w:afterAutospacing="1" w:line="240" w:lineRule="auto"/>
      <w:jc w:val="left"/>
    </w:pPr>
    <w:rPr>
      <w:rFonts w:ascii="Calibri" w:hAnsi="Calibri" w:cs="Calibri"/>
      <w:sz w:val="22"/>
    </w:rPr>
  </w:style>
  <w:style w:type="character" w:styleId="Strong">
    <w:name w:val="Strong"/>
    <w:basedOn w:val="DefaultParagraphFont"/>
    <w:uiPriority w:val="22"/>
    <w:qFormat/>
    <w:rsid w:val="00621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3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ic-eric.eu/lab-instrument/ultra-resolved-angular-photoelectron-spectroscopy/" TargetMode="External"/><Relationship Id="rId13" Type="http://schemas.openxmlformats.org/officeDocument/2006/relationships/hyperlink" Target="https://www.ceric-eric.eu/lab-instrument/next-generation-sequencing/" TargetMode="External"/><Relationship Id="rId3" Type="http://schemas.openxmlformats.org/officeDocument/2006/relationships/webSettings" Target="webSettings.xml"/><Relationship Id="rId7" Type="http://schemas.openxmlformats.org/officeDocument/2006/relationships/hyperlink" Target="https://www.ceric-eric.eu/lab-instrument/mass-spectrometry/" TargetMode="External"/><Relationship Id="rId12" Type="http://schemas.openxmlformats.org/officeDocument/2006/relationships/hyperlink" Target="https://www.ceric-eric.eu/lab-instrument/lyra-dual-beam-fib-s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ric-eric.eu/lab-instrument/holographic-electron-microscopy/" TargetMode="External"/><Relationship Id="rId11" Type="http://schemas.openxmlformats.org/officeDocument/2006/relationships/hyperlink" Target="https://www.ceric-eric.eu/lab-instrument/enviro-esca/" TargetMode="External"/><Relationship Id="rId5" Type="http://schemas.openxmlformats.org/officeDocument/2006/relationships/hyperlink" Target="https://www.ceric-eric.eu/lab-instrument/jrc-nanobiotechnology-laboratory/" TargetMode="External"/><Relationship Id="rId15" Type="http://schemas.openxmlformats.org/officeDocument/2006/relationships/fontTable" Target="fontTable.xml"/><Relationship Id="rId10" Type="http://schemas.openxmlformats.org/officeDocument/2006/relationships/hyperlink" Target="https://www.ceric-eric.eu/lab-instrument/pirx-beamline-x-ray-absorption-spectroscopy/" TargetMode="External"/><Relationship Id="rId4" Type="http://schemas.openxmlformats.org/officeDocument/2006/relationships/hyperlink" Target="https://vuo.elettra.trieste.it/" TargetMode="External"/><Relationship Id="rId9" Type="http://schemas.openxmlformats.org/officeDocument/2006/relationships/hyperlink" Target="https://www.ceric-eric.eu/lab-instrument/x-ray-absorption-spectroscopy-4/" TargetMode="External"/><Relationship Id="rId14" Type="http://schemas.openxmlformats.org/officeDocument/2006/relationships/hyperlink" Target="https://www.ceric-eric.eu/users/call-for-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Arslanagic-Kalajdzic</dc:creator>
  <cp:keywords/>
  <dc:description/>
  <cp:lastModifiedBy>Maja Arslanagic-Kalajdzic</cp:lastModifiedBy>
  <cp:revision>2</cp:revision>
  <dcterms:created xsi:type="dcterms:W3CDTF">2023-02-03T11:58:00Z</dcterms:created>
  <dcterms:modified xsi:type="dcterms:W3CDTF">2023-02-03T12:01:00Z</dcterms:modified>
</cp:coreProperties>
</file>